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33" w:rsidRDefault="00286833" w:rsidP="00286833">
      <w:pPr>
        <w:shd w:val="clear" w:color="auto" w:fill="FFFFFF"/>
        <w:spacing w:after="0" w:line="225" w:lineRule="atLeast"/>
        <w:jc w:val="center"/>
        <w:outlineLvl w:val="0"/>
        <w:rPr>
          <w:rFonts w:ascii="Times New Roman" w:eastAsia="Times New Roman" w:hAnsi="Times New Roman" w:cs="Times New Roman"/>
          <w:b/>
          <w:bCs/>
          <w:caps/>
          <w:color w:val="000000"/>
          <w:kern w:val="36"/>
          <w:sz w:val="28"/>
          <w:szCs w:val="28"/>
        </w:rPr>
      </w:pPr>
      <w:r>
        <w:rPr>
          <w:rFonts w:ascii="Times New Roman" w:eastAsia="Times New Roman" w:hAnsi="Times New Roman" w:cs="Times New Roman"/>
          <w:b/>
          <w:bCs/>
          <w:caps/>
          <w:color w:val="000000"/>
          <w:kern w:val="36"/>
          <w:sz w:val="28"/>
          <w:szCs w:val="28"/>
        </w:rPr>
        <w:t>TÓM TẮT NỘI DUNG</w:t>
      </w:r>
    </w:p>
    <w:p w:rsidR="00286833" w:rsidRDefault="00286833" w:rsidP="00286833">
      <w:pPr>
        <w:shd w:val="clear" w:color="auto" w:fill="FFFFFF"/>
        <w:spacing w:after="0" w:line="225" w:lineRule="atLeast"/>
        <w:jc w:val="center"/>
        <w:outlineLvl w:val="0"/>
        <w:rPr>
          <w:rFonts w:ascii="Times New Roman" w:eastAsia="Times New Roman" w:hAnsi="Times New Roman" w:cs="Times New Roman"/>
          <w:b/>
          <w:bCs/>
          <w:caps/>
          <w:color w:val="000000"/>
          <w:kern w:val="36"/>
          <w:sz w:val="28"/>
          <w:szCs w:val="28"/>
        </w:rPr>
      </w:pPr>
      <w:r w:rsidRPr="00286833">
        <w:rPr>
          <w:rFonts w:ascii="Times New Roman" w:eastAsia="Times New Roman" w:hAnsi="Times New Roman" w:cs="Times New Roman"/>
          <w:b/>
          <w:bCs/>
          <w:caps/>
          <w:color w:val="000000"/>
          <w:kern w:val="36"/>
          <w:sz w:val="28"/>
          <w:szCs w:val="28"/>
        </w:rPr>
        <w:t>Luật Tổ chức chính quyền địa phương</w:t>
      </w:r>
    </w:p>
    <w:p w:rsidR="00286833" w:rsidRPr="00286833" w:rsidRDefault="00286833" w:rsidP="00286833">
      <w:pPr>
        <w:shd w:val="clear" w:color="auto" w:fill="FFFFFF"/>
        <w:spacing w:after="0" w:line="225" w:lineRule="atLeast"/>
        <w:jc w:val="center"/>
        <w:outlineLvl w:val="0"/>
        <w:rPr>
          <w:rFonts w:ascii="Times New Roman" w:eastAsia="Times New Roman" w:hAnsi="Times New Roman" w:cs="Times New Roman"/>
          <w:b/>
          <w:bCs/>
          <w:caps/>
          <w:color w:val="000000"/>
          <w:kern w:val="36"/>
          <w:sz w:val="28"/>
          <w:szCs w:val="28"/>
        </w:rPr>
      </w:pPr>
      <w:r w:rsidRPr="00286833">
        <w:rPr>
          <w:rFonts w:ascii="Times New Roman" w:eastAsia="Times New Roman" w:hAnsi="Times New Roman" w:cs="Times New Roman"/>
          <w:b/>
          <w:bCs/>
          <w:caps/>
          <w:color w:val="000000"/>
          <w:kern w:val="36"/>
          <w:sz w:val="28"/>
          <w:szCs w:val="28"/>
        </w:rPr>
        <w:t>số 72/2025/QH15 năm 2025</w:t>
      </w:r>
    </w:p>
    <w:p w:rsidR="00286833" w:rsidRPr="00286833" w:rsidRDefault="00286833" w:rsidP="00286833">
      <w:pPr>
        <w:shd w:val="clear" w:color="auto" w:fill="FFFFFF"/>
        <w:spacing w:after="0" w:line="225" w:lineRule="atLeast"/>
        <w:outlineLvl w:val="0"/>
        <w:rPr>
          <w:rFonts w:ascii="Times New Roman" w:eastAsia="Times New Roman" w:hAnsi="Times New Roman" w:cs="Times New Roman"/>
          <w:color w:val="000000"/>
          <w:kern w:val="36"/>
          <w:sz w:val="28"/>
          <w:szCs w:val="28"/>
        </w:rPr>
      </w:pPr>
    </w:p>
    <w:tbl>
      <w:tblPr>
        <w:tblW w:w="9783" w:type="dxa"/>
        <w:tblCellSpacing w:w="15" w:type="dxa"/>
        <w:tblBorders>
          <w:top w:val="single" w:sz="6" w:space="0" w:color="AFAFAF"/>
          <w:left w:val="single" w:sz="6" w:space="0" w:color="AFAFAF"/>
          <w:bottom w:val="single" w:sz="6" w:space="0" w:color="AFAFAF"/>
          <w:right w:val="single" w:sz="6" w:space="0" w:color="AFAFAF"/>
        </w:tblBorders>
        <w:tblCellMar>
          <w:top w:w="30" w:type="dxa"/>
          <w:left w:w="30" w:type="dxa"/>
          <w:bottom w:w="30" w:type="dxa"/>
          <w:right w:w="30" w:type="dxa"/>
        </w:tblCellMar>
        <w:tblLook w:val="04A0" w:firstRow="1" w:lastRow="0" w:firstColumn="1" w:lastColumn="0" w:noHBand="0" w:noVBand="1"/>
      </w:tblPr>
      <w:tblGrid>
        <w:gridCol w:w="2292"/>
        <w:gridCol w:w="1784"/>
        <w:gridCol w:w="97"/>
        <w:gridCol w:w="2211"/>
        <w:gridCol w:w="3399"/>
      </w:tblGrid>
      <w:tr w:rsidR="00286833" w:rsidRPr="00286833" w:rsidTr="00286833">
        <w:trPr>
          <w:trHeight w:val="255"/>
          <w:tblCellSpacing w:w="15" w:type="dxa"/>
        </w:trPr>
        <w:tc>
          <w:tcPr>
            <w:tcW w:w="2229" w:type="dxa"/>
            <w:hideMark/>
          </w:tcPr>
          <w:p w:rsidR="00286833" w:rsidRPr="00286833" w:rsidRDefault="00286833" w:rsidP="00286833">
            <w:pPr>
              <w:spacing w:after="0" w:line="270" w:lineRule="atLeast"/>
              <w:rPr>
                <w:rFonts w:ascii="Times New Roman" w:eastAsia="Times New Roman" w:hAnsi="Times New Roman" w:cs="Times New Roman"/>
                <w:sz w:val="28"/>
                <w:szCs w:val="28"/>
              </w:rPr>
            </w:pPr>
            <w:r w:rsidRPr="00286833">
              <w:rPr>
                <w:rFonts w:ascii="Times New Roman" w:eastAsia="Times New Roman" w:hAnsi="Times New Roman" w:cs="Times New Roman"/>
                <w:b/>
                <w:bCs/>
                <w:sz w:val="28"/>
                <w:szCs w:val="28"/>
              </w:rPr>
              <w:t>Số hiệu:</w:t>
            </w:r>
          </w:p>
        </w:tc>
        <w:tc>
          <w:tcPr>
            <w:tcW w:w="0" w:type="auto"/>
            <w:hideMark/>
          </w:tcPr>
          <w:p w:rsidR="00286833" w:rsidRPr="00286833" w:rsidRDefault="00286833" w:rsidP="00286833">
            <w:pPr>
              <w:spacing w:after="0" w:line="270" w:lineRule="atLeast"/>
              <w:rPr>
                <w:rFonts w:ascii="Times New Roman" w:eastAsia="Times New Roman" w:hAnsi="Times New Roman" w:cs="Times New Roman"/>
                <w:sz w:val="28"/>
                <w:szCs w:val="28"/>
              </w:rPr>
            </w:pPr>
            <w:r w:rsidRPr="00286833">
              <w:rPr>
                <w:rFonts w:ascii="Times New Roman" w:eastAsia="Times New Roman" w:hAnsi="Times New Roman" w:cs="Times New Roman"/>
                <w:sz w:val="28"/>
                <w:szCs w:val="28"/>
              </w:rPr>
              <w:t>72/2025/QH15</w:t>
            </w:r>
          </w:p>
        </w:tc>
        <w:tc>
          <w:tcPr>
            <w:tcW w:w="0" w:type="auto"/>
            <w:tcBorders>
              <w:top w:val="nil"/>
              <w:bottom w:val="nil"/>
            </w:tcBorders>
            <w:hideMark/>
          </w:tcPr>
          <w:p w:rsidR="00286833" w:rsidRPr="00286833" w:rsidRDefault="00286833" w:rsidP="00286833">
            <w:pPr>
              <w:spacing w:after="0" w:line="270" w:lineRule="atLeast"/>
              <w:rPr>
                <w:rFonts w:ascii="Times New Roman" w:eastAsia="Times New Roman" w:hAnsi="Times New Roman" w:cs="Times New Roman"/>
                <w:sz w:val="28"/>
                <w:szCs w:val="28"/>
              </w:rPr>
            </w:pPr>
          </w:p>
        </w:tc>
        <w:tc>
          <w:tcPr>
            <w:tcW w:w="2181" w:type="dxa"/>
            <w:hideMark/>
          </w:tcPr>
          <w:p w:rsidR="00286833" w:rsidRPr="00286833" w:rsidRDefault="00286833" w:rsidP="00286833">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286833">
              <w:rPr>
                <w:rFonts w:ascii="Times New Roman" w:eastAsia="Times New Roman" w:hAnsi="Times New Roman" w:cs="Times New Roman"/>
                <w:b/>
                <w:bCs/>
                <w:sz w:val="28"/>
                <w:szCs w:val="28"/>
              </w:rPr>
              <w:t>Loại văn bản:</w:t>
            </w:r>
          </w:p>
        </w:tc>
        <w:tc>
          <w:tcPr>
            <w:tcW w:w="3354" w:type="dxa"/>
            <w:hideMark/>
          </w:tcPr>
          <w:p w:rsidR="00286833" w:rsidRPr="00286833" w:rsidRDefault="00286833" w:rsidP="00286833">
            <w:pPr>
              <w:spacing w:after="0" w:line="270" w:lineRule="atLeast"/>
              <w:rPr>
                <w:rFonts w:ascii="Times New Roman" w:eastAsia="Times New Roman" w:hAnsi="Times New Roman" w:cs="Times New Roman"/>
                <w:sz w:val="28"/>
                <w:szCs w:val="28"/>
              </w:rPr>
            </w:pPr>
            <w:r w:rsidRPr="00286833">
              <w:rPr>
                <w:rFonts w:ascii="Times New Roman" w:eastAsia="Times New Roman" w:hAnsi="Times New Roman" w:cs="Times New Roman"/>
                <w:sz w:val="28"/>
                <w:szCs w:val="28"/>
              </w:rPr>
              <w:t>Luật</w:t>
            </w:r>
          </w:p>
        </w:tc>
      </w:tr>
      <w:tr w:rsidR="00286833" w:rsidRPr="00286833" w:rsidTr="00286833">
        <w:trPr>
          <w:trHeight w:val="267"/>
          <w:tblCellSpacing w:w="15" w:type="dxa"/>
        </w:trPr>
        <w:tc>
          <w:tcPr>
            <w:tcW w:w="2229" w:type="dxa"/>
            <w:hideMark/>
          </w:tcPr>
          <w:p w:rsidR="00286833" w:rsidRPr="00286833" w:rsidRDefault="00286833" w:rsidP="00286833">
            <w:pPr>
              <w:spacing w:after="0" w:line="270" w:lineRule="atLeast"/>
              <w:rPr>
                <w:rFonts w:ascii="Times New Roman" w:eastAsia="Times New Roman" w:hAnsi="Times New Roman" w:cs="Times New Roman"/>
                <w:sz w:val="28"/>
                <w:szCs w:val="28"/>
              </w:rPr>
            </w:pPr>
            <w:r w:rsidRPr="00286833">
              <w:rPr>
                <w:rFonts w:ascii="Times New Roman" w:eastAsia="Times New Roman" w:hAnsi="Times New Roman" w:cs="Times New Roman"/>
                <w:b/>
                <w:bCs/>
                <w:sz w:val="28"/>
                <w:szCs w:val="28"/>
              </w:rPr>
              <w:t>Nơi ban hành:</w:t>
            </w:r>
          </w:p>
        </w:tc>
        <w:tc>
          <w:tcPr>
            <w:tcW w:w="0" w:type="auto"/>
            <w:hideMark/>
          </w:tcPr>
          <w:p w:rsidR="00286833" w:rsidRPr="00286833" w:rsidRDefault="00286833" w:rsidP="00286833">
            <w:pPr>
              <w:spacing w:after="0" w:line="270" w:lineRule="atLeast"/>
              <w:rPr>
                <w:rFonts w:ascii="Times New Roman" w:eastAsia="Times New Roman" w:hAnsi="Times New Roman" w:cs="Times New Roman"/>
                <w:sz w:val="28"/>
                <w:szCs w:val="28"/>
              </w:rPr>
            </w:pPr>
            <w:r w:rsidRPr="00286833">
              <w:rPr>
                <w:rFonts w:ascii="Times New Roman" w:eastAsia="Times New Roman" w:hAnsi="Times New Roman" w:cs="Times New Roman"/>
                <w:sz w:val="28"/>
                <w:szCs w:val="28"/>
              </w:rPr>
              <w:t>Quốc hội</w:t>
            </w:r>
          </w:p>
        </w:tc>
        <w:tc>
          <w:tcPr>
            <w:tcW w:w="0" w:type="auto"/>
            <w:tcBorders>
              <w:top w:val="nil"/>
              <w:bottom w:val="nil"/>
            </w:tcBorders>
            <w:hideMark/>
          </w:tcPr>
          <w:p w:rsidR="00286833" w:rsidRPr="00286833" w:rsidRDefault="00286833" w:rsidP="00286833">
            <w:pPr>
              <w:spacing w:after="0" w:line="270" w:lineRule="atLeast"/>
              <w:rPr>
                <w:rFonts w:ascii="Times New Roman" w:eastAsia="Times New Roman" w:hAnsi="Times New Roman" w:cs="Times New Roman"/>
                <w:sz w:val="28"/>
                <w:szCs w:val="28"/>
              </w:rPr>
            </w:pPr>
          </w:p>
        </w:tc>
        <w:tc>
          <w:tcPr>
            <w:tcW w:w="2181" w:type="dxa"/>
            <w:hideMark/>
          </w:tcPr>
          <w:p w:rsidR="00286833" w:rsidRPr="00286833" w:rsidRDefault="00286833" w:rsidP="00286833">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286833">
              <w:rPr>
                <w:rFonts w:ascii="Times New Roman" w:eastAsia="Times New Roman" w:hAnsi="Times New Roman" w:cs="Times New Roman"/>
                <w:b/>
                <w:bCs/>
                <w:sz w:val="28"/>
                <w:szCs w:val="28"/>
              </w:rPr>
              <w:t>Người ký:</w:t>
            </w:r>
          </w:p>
        </w:tc>
        <w:tc>
          <w:tcPr>
            <w:tcW w:w="3354" w:type="dxa"/>
            <w:hideMark/>
          </w:tcPr>
          <w:p w:rsidR="00286833" w:rsidRPr="00286833" w:rsidRDefault="00286833" w:rsidP="00286833">
            <w:pPr>
              <w:spacing w:after="0" w:line="270" w:lineRule="atLeast"/>
              <w:rPr>
                <w:rFonts w:ascii="Times New Roman" w:eastAsia="Times New Roman" w:hAnsi="Times New Roman" w:cs="Times New Roman"/>
                <w:sz w:val="28"/>
                <w:szCs w:val="28"/>
              </w:rPr>
            </w:pPr>
            <w:r w:rsidRPr="00286833">
              <w:rPr>
                <w:rFonts w:ascii="Times New Roman" w:eastAsia="Times New Roman" w:hAnsi="Times New Roman" w:cs="Times New Roman"/>
                <w:sz w:val="28"/>
                <w:szCs w:val="28"/>
              </w:rPr>
              <w:t>Trần Thanh Mẫn</w:t>
            </w:r>
          </w:p>
        </w:tc>
      </w:tr>
      <w:tr w:rsidR="00286833" w:rsidRPr="00286833" w:rsidTr="00286833">
        <w:trPr>
          <w:trHeight w:val="255"/>
          <w:tblCellSpacing w:w="15" w:type="dxa"/>
        </w:trPr>
        <w:tc>
          <w:tcPr>
            <w:tcW w:w="2229" w:type="dxa"/>
            <w:hideMark/>
          </w:tcPr>
          <w:p w:rsidR="00286833" w:rsidRPr="00286833" w:rsidRDefault="00286833" w:rsidP="00286833">
            <w:pPr>
              <w:spacing w:after="0" w:line="270" w:lineRule="atLeast"/>
              <w:rPr>
                <w:rFonts w:ascii="Times New Roman" w:eastAsia="Times New Roman" w:hAnsi="Times New Roman" w:cs="Times New Roman"/>
                <w:sz w:val="28"/>
                <w:szCs w:val="28"/>
              </w:rPr>
            </w:pPr>
            <w:r w:rsidRPr="00286833">
              <w:rPr>
                <w:rFonts w:ascii="Times New Roman" w:eastAsia="Times New Roman" w:hAnsi="Times New Roman" w:cs="Times New Roman"/>
                <w:b/>
                <w:bCs/>
                <w:sz w:val="28"/>
                <w:szCs w:val="28"/>
              </w:rPr>
              <w:t>Ngày ban hành:</w:t>
            </w:r>
          </w:p>
        </w:tc>
        <w:tc>
          <w:tcPr>
            <w:tcW w:w="0" w:type="auto"/>
            <w:hideMark/>
          </w:tcPr>
          <w:p w:rsidR="00286833" w:rsidRPr="00286833" w:rsidRDefault="00286833" w:rsidP="00286833">
            <w:pPr>
              <w:spacing w:after="0" w:line="270" w:lineRule="atLeast"/>
              <w:rPr>
                <w:rFonts w:ascii="Times New Roman" w:eastAsia="Times New Roman" w:hAnsi="Times New Roman" w:cs="Times New Roman"/>
                <w:sz w:val="28"/>
                <w:szCs w:val="28"/>
              </w:rPr>
            </w:pPr>
            <w:r w:rsidRPr="00286833">
              <w:rPr>
                <w:rFonts w:ascii="Times New Roman" w:eastAsia="Times New Roman" w:hAnsi="Times New Roman" w:cs="Times New Roman"/>
                <w:sz w:val="28"/>
                <w:szCs w:val="28"/>
              </w:rPr>
              <w:t>16/06/2025</w:t>
            </w:r>
          </w:p>
        </w:tc>
        <w:tc>
          <w:tcPr>
            <w:tcW w:w="0" w:type="auto"/>
            <w:tcBorders>
              <w:top w:val="nil"/>
              <w:bottom w:val="nil"/>
            </w:tcBorders>
            <w:hideMark/>
          </w:tcPr>
          <w:p w:rsidR="00286833" w:rsidRPr="00286833" w:rsidRDefault="00286833" w:rsidP="00286833">
            <w:pPr>
              <w:spacing w:after="0" w:line="270" w:lineRule="atLeast"/>
              <w:rPr>
                <w:rFonts w:ascii="Times New Roman" w:eastAsia="Times New Roman" w:hAnsi="Times New Roman" w:cs="Times New Roman"/>
                <w:sz w:val="28"/>
                <w:szCs w:val="28"/>
              </w:rPr>
            </w:pPr>
          </w:p>
        </w:tc>
        <w:tc>
          <w:tcPr>
            <w:tcW w:w="2181" w:type="dxa"/>
            <w:hideMark/>
          </w:tcPr>
          <w:p w:rsidR="00286833" w:rsidRPr="00286833" w:rsidRDefault="00286833" w:rsidP="00286833">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286833">
              <w:rPr>
                <w:rFonts w:ascii="Times New Roman" w:eastAsia="Times New Roman" w:hAnsi="Times New Roman" w:cs="Times New Roman"/>
                <w:b/>
                <w:bCs/>
                <w:sz w:val="28"/>
                <w:szCs w:val="28"/>
              </w:rPr>
              <w:t>Ngày hiệu lực:</w:t>
            </w:r>
          </w:p>
        </w:tc>
        <w:tc>
          <w:tcPr>
            <w:tcW w:w="3354" w:type="dxa"/>
            <w:hideMark/>
          </w:tcPr>
          <w:p w:rsidR="00286833" w:rsidRPr="00286833" w:rsidRDefault="00286833" w:rsidP="00286833">
            <w:pPr>
              <w:spacing w:after="0" w:line="270" w:lineRule="atLeast"/>
              <w:rPr>
                <w:rFonts w:ascii="Times New Roman" w:eastAsia="Times New Roman" w:hAnsi="Times New Roman" w:cs="Times New Roman"/>
                <w:color w:val="003F7A"/>
                <w:sz w:val="28"/>
                <w:szCs w:val="28"/>
              </w:rPr>
            </w:pPr>
            <w:r w:rsidRPr="00286833">
              <w:rPr>
                <w:rFonts w:ascii="Times New Roman" w:eastAsia="Times New Roman" w:hAnsi="Times New Roman" w:cs="Times New Roman"/>
                <w:color w:val="000000"/>
                <w:sz w:val="28"/>
                <w:szCs w:val="28"/>
              </w:rPr>
              <w:t>16/6/2025</w:t>
            </w:r>
          </w:p>
        </w:tc>
      </w:tr>
      <w:tr w:rsidR="00286833" w:rsidRPr="00286833" w:rsidTr="00286833">
        <w:trPr>
          <w:trHeight w:val="267"/>
          <w:tblCellSpacing w:w="15" w:type="dxa"/>
        </w:trPr>
        <w:tc>
          <w:tcPr>
            <w:tcW w:w="2229" w:type="dxa"/>
          </w:tcPr>
          <w:p w:rsidR="00286833" w:rsidRPr="00286833" w:rsidRDefault="00286833" w:rsidP="00286833">
            <w:pPr>
              <w:spacing w:after="0" w:line="270" w:lineRule="atLeast"/>
              <w:rPr>
                <w:rFonts w:ascii="Times New Roman" w:eastAsia="Times New Roman" w:hAnsi="Times New Roman" w:cs="Times New Roman"/>
                <w:sz w:val="28"/>
                <w:szCs w:val="28"/>
              </w:rPr>
            </w:pPr>
          </w:p>
        </w:tc>
        <w:tc>
          <w:tcPr>
            <w:tcW w:w="0" w:type="auto"/>
          </w:tcPr>
          <w:p w:rsidR="00286833" w:rsidRPr="00286833" w:rsidRDefault="00286833" w:rsidP="00286833">
            <w:pPr>
              <w:spacing w:after="0" w:line="270" w:lineRule="atLeast"/>
              <w:rPr>
                <w:rFonts w:ascii="Times New Roman" w:eastAsia="Times New Roman" w:hAnsi="Times New Roman" w:cs="Times New Roman"/>
                <w:color w:val="003F7A"/>
                <w:sz w:val="28"/>
                <w:szCs w:val="28"/>
              </w:rPr>
            </w:pPr>
          </w:p>
        </w:tc>
        <w:tc>
          <w:tcPr>
            <w:tcW w:w="0" w:type="auto"/>
            <w:tcBorders>
              <w:top w:val="nil"/>
              <w:bottom w:val="nil"/>
            </w:tcBorders>
          </w:tcPr>
          <w:p w:rsidR="00286833" w:rsidRPr="00286833" w:rsidRDefault="00286833" w:rsidP="00286833">
            <w:pPr>
              <w:spacing w:after="0" w:line="270" w:lineRule="atLeast"/>
              <w:rPr>
                <w:rFonts w:ascii="Times New Roman" w:eastAsia="Times New Roman" w:hAnsi="Times New Roman" w:cs="Times New Roman"/>
                <w:sz w:val="28"/>
                <w:szCs w:val="28"/>
              </w:rPr>
            </w:pPr>
          </w:p>
        </w:tc>
        <w:tc>
          <w:tcPr>
            <w:tcW w:w="2181" w:type="dxa"/>
          </w:tcPr>
          <w:p w:rsidR="00286833" w:rsidRPr="00286833" w:rsidRDefault="00286833" w:rsidP="00286833">
            <w:pPr>
              <w:spacing w:after="0" w:line="270" w:lineRule="atLeast"/>
              <w:rPr>
                <w:rFonts w:ascii="Times New Roman" w:eastAsia="Times New Roman" w:hAnsi="Times New Roman" w:cs="Times New Roman"/>
                <w:sz w:val="28"/>
                <w:szCs w:val="28"/>
              </w:rPr>
            </w:pPr>
          </w:p>
        </w:tc>
        <w:tc>
          <w:tcPr>
            <w:tcW w:w="3354" w:type="dxa"/>
          </w:tcPr>
          <w:p w:rsidR="00286833" w:rsidRPr="00286833" w:rsidRDefault="00286833" w:rsidP="00286833">
            <w:pPr>
              <w:spacing w:after="0" w:line="270" w:lineRule="atLeast"/>
              <w:rPr>
                <w:rFonts w:ascii="Times New Roman" w:eastAsia="Times New Roman" w:hAnsi="Times New Roman" w:cs="Times New Roman"/>
                <w:color w:val="003F7A"/>
                <w:sz w:val="28"/>
                <w:szCs w:val="28"/>
              </w:rPr>
            </w:pPr>
          </w:p>
        </w:tc>
      </w:tr>
      <w:tr w:rsidR="00286833" w:rsidRPr="00286833" w:rsidTr="00286833">
        <w:trPr>
          <w:trHeight w:val="28"/>
          <w:tblCellSpacing w:w="15" w:type="dxa"/>
        </w:trPr>
        <w:tc>
          <w:tcPr>
            <w:tcW w:w="4127" w:type="dxa"/>
            <w:gridSpan w:val="3"/>
            <w:tcBorders>
              <w:top w:val="nil"/>
              <w:bottom w:val="nil"/>
            </w:tcBorders>
          </w:tcPr>
          <w:p w:rsidR="00286833" w:rsidRPr="00286833" w:rsidRDefault="00286833" w:rsidP="00286833">
            <w:pPr>
              <w:spacing w:after="0" w:line="270" w:lineRule="atLeast"/>
              <w:rPr>
                <w:rFonts w:ascii="Times New Roman" w:eastAsia="Times New Roman" w:hAnsi="Times New Roman" w:cs="Times New Roman"/>
                <w:sz w:val="28"/>
                <w:szCs w:val="28"/>
              </w:rPr>
            </w:pPr>
          </w:p>
        </w:tc>
        <w:tc>
          <w:tcPr>
            <w:tcW w:w="2181" w:type="dxa"/>
          </w:tcPr>
          <w:p w:rsidR="00286833" w:rsidRPr="00286833" w:rsidRDefault="00286833" w:rsidP="00286833">
            <w:pPr>
              <w:spacing w:after="0" w:line="270" w:lineRule="atLeast"/>
              <w:rPr>
                <w:rFonts w:ascii="Times New Roman" w:eastAsia="Times New Roman" w:hAnsi="Times New Roman" w:cs="Times New Roman"/>
                <w:sz w:val="28"/>
                <w:szCs w:val="28"/>
              </w:rPr>
            </w:pPr>
          </w:p>
        </w:tc>
        <w:tc>
          <w:tcPr>
            <w:tcW w:w="3354" w:type="dxa"/>
          </w:tcPr>
          <w:p w:rsidR="00286833" w:rsidRPr="00286833" w:rsidRDefault="00286833" w:rsidP="00286833">
            <w:pPr>
              <w:spacing w:after="0" w:line="270" w:lineRule="atLeast"/>
              <w:rPr>
                <w:rFonts w:ascii="Times New Roman" w:eastAsia="Times New Roman" w:hAnsi="Times New Roman" w:cs="Times New Roman"/>
                <w:color w:val="F15A22"/>
                <w:sz w:val="28"/>
                <w:szCs w:val="28"/>
              </w:rPr>
            </w:pPr>
          </w:p>
        </w:tc>
      </w:tr>
    </w:tbl>
    <w:p w:rsidR="00286833" w:rsidRPr="00286833" w:rsidRDefault="00286833" w:rsidP="00286833">
      <w:pPr>
        <w:shd w:val="clear" w:color="auto" w:fill="FFFFFF"/>
        <w:spacing w:after="150" w:line="240" w:lineRule="auto"/>
        <w:jc w:val="both"/>
        <w:outlineLvl w:val="1"/>
        <w:rPr>
          <w:rFonts w:ascii="Times New Roman" w:eastAsia="Times New Roman" w:hAnsi="Times New Roman" w:cs="Times New Roman"/>
          <w:b/>
          <w:bCs/>
          <w:color w:val="000000"/>
          <w:sz w:val="28"/>
          <w:szCs w:val="28"/>
        </w:rPr>
      </w:pPr>
    </w:p>
    <w:p w:rsidR="00286833" w:rsidRPr="00286833" w:rsidRDefault="00286833" w:rsidP="00286833">
      <w:pPr>
        <w:shd w:val="clear" w:color="auto" w:fill="FFFFFF"/>
        <w:spacing w:after="150" w:line="240" w:lineRule="auto"/>
        <w:jc w:val="center"/>
        <w:outlineLvl w:val="1"/>
        <w:rPr>
          <w:rFonts w:ascii="Times New Roman" w:eastAsia="Times New Roman" w:hAnsi="Times New Roman" w:cs="Times New Roman"/>
          <w:b/>
          <w:bCs/>
          <w:color w:val="000000"/>
          <w:sz w:val="28"/>
          <w:szCs w:val="28"/>
        </w:rPr>
      </w:pPr>
      <w:r w:rsidRPr="00286833">
        <w:rPr>
          <w:rFonts w:ascii="Times New Roman" w:eastAsia="Times New Roman" w:hAnsi="Times New Roman" w:cs="Times New Roman"/>
          <w:b/>
          <w:bCs/>
          <w:color w:val="000000"/>
          <w:sz w:val="28"/>
          <w:szCs w:val="28"/>
        </w:rPr>
        <w:t>Chính thức xác lập mô hình tổ chức chính quyền địa phương 2 cấp</w:t>
      </w:r>
    </w:p>
    <w:p w:rsidR="00286833" w:rsidRDefault="00286833" w:rsidP="00286833">
      <w:pPr>
        <w:shd w:val="clear" w:color="auto" w:fill="FFFFFF"/>
        <w:spacing w:after="0" w:line="240" w:lineRule="auto"/>
        <w:ind w:firstLine="720"/>
        <w:jc w:val="both"/>
        <w:rPr>
          <w:rFonts w:ascii="Times New Roman" w:eastAsia="Times New Roman" w:hAnsi="Times New Roman" w:cs="Times New Roman"/>
          <w:b/>
          <w:bCs/>
          <w:color w:val="000000"/>
          <w:sz w:val="28"/>
          <w:szCs w:val="28"/>
        </w:rPr>
      </w:pPr>
      <w:r w:rsidRPr="00286833">
        <w:rPr>
          <w:rFonts w:ascii="Times New Roman" w:eastAsia="Times New Roman" w:hAnsi="Times New Roman" w:cs="Times New Roman"/>
          <w:bCs/>
          <w:color w:val="000000"/>
          <w:sz w:val="28"/>
          <w:szCs w:val="28"/>
        </w:rPr>
        <w:t>Ngày 16/6/2025, Quốc hội nước Cộng hòa xã hội chủ nghĩa Việt Nam khóa XV, Kỳ họp thứ 9 thông qua </w:t>
      </w:r>
      <w:hyperlink r:id="rId5" w:tgtFrame="_blank" w:history="1">
        <w:r w:rsidRPr="00286833">
          <w:rPr>
            <w:rFonts w:ascii="Times New Roman" w:eastAsia="Times New Roman" w:hAnsi="Times New Roman" w:cs="Times New Roman"/>
            <w:bCs/>
            <w:color w:val="003F7A"/>
            <w:sz w:val="28"/>
            <w:szCs w:val="28"/>
          </w:rPr>
          <w:t>Luật Tổ chức chính quyền địa phương số 72/2025/QH15</w:t>
        </w:r>
      </w:hyperlink>
      <w:r w:rsidRPr="00286833">
        <w:rPr>
          <w:rFonts w:ascii="Times New Roman" w:eastAsia="Times New Roman" w:hAnsi="Times New Roman" w:cs="Times New Roman"/>
          <w:b/>
          <w:bCs/>
          <w:color w:val="000000"/>
          <w:sz w:val="28"/>
          <w:szCs w:val="28"/>
        </w:rPr>
        <w:t>.</w:t>
      </w:r>
    </w:p>
    <w:p w:rsidR="00286833" w:rsidRPr="00286833" w:rsidRDefault="00286833" w:rsidP="00286833">
      <w:pPr>
        <w:shd w:val="clear" w:color="auto" w:fill="FFFFFF"/>
        <w:spacing w:after="0" w:line="240" w:lineRule="auto"/>
        <w:jc w:val="both"/>
        <w:rPr>
          <w:rFonts w:ascii="Times New Roman" w:eastAsia="Times New Roman" w:hAnsi="Times New Roman" w:cs="Times New Roman"/>
          <w:color w:val="000000"/>
          <w:sz w:val="28"/>
          <w:szCs w:val="28"/>
        </w:rPr>
      </w:pPr>
    </w:p>
    <w:p w:rsidR="00286833" w:rsidRPr="00286833" w:rsidRDefault="00286833" w:rsidP="00286833">
      <w:pPr>
        <w:shd w:val="clear" w:color="auto" w:fill="FFFFFF"/>
        <w:spacing w:after="150" w:line="240" w:lineRule="auto"/>
        <w:jc w:val="center"/>
        <w:outlineLvl w:val="1"/>
        <w:rPr>
          <w:rFonts w:ascii="Times New Roman" w:eastAsia="Times New Roman" w:hAnsi="Times New Roman" w:cs="Times New Roman"/>
          <w:b/>
          <w:bCs/>
          <w:color w:val="000000"/>
          <w:sz w:val="28"/>
          <w:szCs w:val="28"/>
        </w:rPr>
      </w:pPr>
      <w:r w:rsidRPr="00286833">
        <w:rPr>
          <w:rFonts w:ascii="Times New Roman" w:eastAsia="Times New Roman" w:hAnsi="Times New Roman" w:cs="Times New Roman"/>
          <w:b/>
          <w:bCs/>
          <w:color w:val="000000"/>
          <w:sz w:val="28"/>
          <w:szCs w:val="28"/>
        </w:rPr>
        <w:t>Chính thức xác lập mô hình tổ chức chính quyền địa phương 2 cấp</w:t>
      </w:r>
    </w:p>
    <w:p w:rsidR="00286833" w:rsidRPr="00286833" w:rsidRDefault="00286833" w:rsidP="00286833">
      <w:pPr>
        <w:shd w:val="clear" w:color="auto" w:fill="FFFFFF"/>
        <w:spacing w:after="150" w:line="384" w:lineRule="atLeast"/>
        <w:ind w:firstLine="720"/>
        <w:jc w:val="both"/>
        <w:rPr>
          <w:rFonts w:ascii="Times New Roman" w:eastAsia="Times New Roman" w:hAnsi="Times New Roman" w:cs="Times New Roman"/>
          <w:color w:val="000000"/>
          <w:sz w:val="28"/>
          <w:szCs w:val="28"/>
        </w:rPr>
      </w:pPr>
      <w:r w:rsidRPr="00286833">
        <w:rPr>
          <w:rFonts w:ascii="Times New Roman" w:eastAsia="Times New Roman" w:hAnsi="Times New Roman" w:cs="Times New Roman"/>
          <w:color w:val="000000"/>
          <w:sz w:val="28"/>
          <w:szCs w:val="28"/>
        </w:rPr>
        <w:t>Cụ thể, đơn vị hành chính của nước Cộng hòa xã hội chủ nghĩa Việt Nam được tổ chức thành 02 cấp, gồm có:</w:t>
      </w:r>
    </w:p>
    <w:p w:rsidR="00286833" w:rsidRPr="00286833" w:rsidRDefault="00286833" w:rsidP="00286833">
      <w:pPr>
        <w:shd w:val="clear" w:color="auto" w:fill="FFFFFF"/>
        <w:spacing w:after="150" w:line="384" w:lineRule="atLeast"/>
        <w:ind w:firstLine="720"/>
        <w:jc w:val="both"/>
        <w:rPr>
          <w:rFonts w:ascii="Times New Roman" w:eastAsia="Times New Roman" w:hAnsi="Times New Roman" w:cs="Times New Roman"/>
          <w:color w:val="000000"/>
          <w:sz w:val="28"/>
          <w:szCs w:val="28"/>
        </w:rPr>
      </w:pPr>
      <w:r w:rsidRPr="00286833">
        <w:rPr>
          <w:rFonts w:ascii="Times New Roman" w:eastAsia="Times New Roman" w:hAnsi="Times New Roman" w:cs="Times New Roman"/>
          <w:color w:val="000000"/>
          <w:sz w:val="28"/>
          <w:szCs w:val="28"/>
        </w:rPr>
        <w:t>- Tỉnh, thành phố trực thuộc trung ương (sau đây gọi chung là cấp tỉnh);</w:t>
      </w:r>
    </w:p>
    <w:p w:rsidR="00286833" w:rsidRPr="00286833" w:rsidRDefault="00286833" w:rsidP="00286833">
      <w:pPr>
        <w:shd w:val="clear" w:color="auto" w:fill="FFFFFF"/>
        <w:spacing w:after="150" w:line="384" w:lineRule="atLeast"/>
        <w:ind w:firstLine="720"/>
        <w:jc w:val="both"/>
        <w:rPr>
          <w:rFonts w:ascii="Times New Roman" w:eastAsia="Times New Roman" w:hAnsi="Times New Roman" w:cs="Times New Roman"/>
          <w:color w:val="000000"/>
          <w:sz w:val="28"/>
          <w:szCs w:val="28"/>
        </w:rPr>
      </w:pPr>
      <w:r w:rsidRPr="00286833">
        <w:rPr>
          <w:rFonts w:ascii="Times New Roman" w:eastAsia="Times New Roman" w:hAnsi="Times New Roman" w:cs="Times New Roman"/>
          <w:color w:val="000000"/>
          <w:sz w:val="28"/>
          <w:szCs w:val="28"/>
        </w:rPr>
        <w:t>- Xã, phường, đặc khu trực thuộc cấp tỉnh (sau đây gọi chung là cấp xã).</w:t>
      </w:r>
    </w:p>
    <w:p w:rsidR="00286833" w:rsidRPr="00286833" w:rsidRDefault="00286833" w:rsidP="00286833">
      <w:pPr>
        <w:shd w:val="clear" w:color="auto" w:fill="FFFFFF"/>
        <w:spacing w:after="150" w:line="384" w:lineRule="atLeast"/>
        <w:ind w:firstLine="720"/>
        <w:jc w:val="both"/>
        <w:rPr>
          <w:rFonts w:ascii="Times New Roman" w:eastAsia="Times New Roman" w:hAnsi="Times New Roman" w:cs="Times New Roman"/>
          <w:color w:val="000000"/>
          <w:sz w:val="28"/>
          <w:szCs w:val="28"/>
        </w:rPr>
      </w:pPr>
      <w:r w:rsidRPr="00286833">
        <w:rPr>
          <w:rFonts w:ascii="Times New Roman" w:eastAsia="Times New Roman" w:hAnsi="Times New Roman" w:cs="Times New Roman"/>
          <w:color w:val="000000"/>
          <w:sz w:val="28"/>
          <w:szCs w:val="28"/>
        </w:rPr>
        <w:t>Xã là đơn vị hành chính ở nông thôn; phường là đơn vị hành chính ở đô thị; đặc khu là đơn vị hành chính ở một số hải đảo có vị trí quan trọng được thành lập phù hợp với điều kiện địa lý, tự nhiên, đặc điểm dân cư và yêu cầu phát triển kinh tế - xã hội, bảo đảm quốc phòng, an ninh.</w:t>
      </w:r>
    </w:p>
    <w:p w:rsidR="00286833" w:rsidRPr="00286833" w:rsidRDefault="00286833" w:rsidP="00286833">
      <w:pPr>
        <w:shd w:val="clear" w:color="auto" w:fill="FFFFFF"/>
        <w:spacing w:after="150" w:line="384" w:lineRule="atLeast"/>
        <w:ind w:firstLine="720"/>
        <w:jc w:val="both"/>
        <w:rPr>
          <w:rFonts w:ascii="Times New Roman" w:eastAsia="Times New Roman" w:hAnsi="Times New Roman" w:cs="Times New Roman"/>
          <w:color w:val="000000"/>
          <w:sz w:val="28"/>
          <w:szCs w:val="28"/>
        </w:rPr>
      </w:pPr>
      <w:r w:rsidRPr="00286833">
        <w:rPr>
          <w:rFonts w:ascii="Times New Roman" w:eastAsia="Times New Roman" w:hAnsi="Times New Roman" w:cs="Times New Roman"/>
          <w:color w:val="000000"/>
          <w:sz w:val="28"/>
          <w:szCs w:val="28"/>
        </w:rPr>
        <w:t>Đơn vị hành chính - kinh tế đặc biệt là địa bàn có vị trí chiến lược, được tổ chức theo mô hình đặc thù, được áp dụng các cơ chế, chính sách ưu đãi vượt trội, thực hiện các chính sách mới về quản trị địa phương, thu hút đầu tư, nâng cao năng lực cạnh tranh quốc gia nhằm thúc đẩy phát triển kinh tế - xã hội của địa phương, vùng và cả nước. Đơn vị hành chính - kinh tế đặc biệt do Quốc hội quyết định thành lập.</w:t>
      </w:r>
    </w:p>
    <w:p w:rsidR="00286833" w:rsidRPr="00286833" w:rsidRDefault="00286833" w:rsidP="00286833">
      <w:pPr>
        <w:shd w:val="clear" w:color="auto" w:fill="FFFFFF"/>
        <w:spacing w:after="0" w:line="384" w:lineRule="atLeast"/>
        <w:ind w:firstLine="720"/>
        <w:jc w:val="both"/>
        <w:rPr>
          <w:rFonts w:ascii="Times New Roman" w:eastAsia="Times New Roman" w:hAnsi="Times New Roman" w:cs="Times New Roman"/>
          <w:color w:val="000000"/>
          <w:sz w:val="28"/>
          <w:szCs w:val="28"/>
        </w:rPr>
      </w:pPr>
      <w:r w:rsidRPr="00286833">
        <w:rPr>
          <w:rFonts w:ascii="Times New Roman" w:eastAsia="Times New Roman" w:hAnsi="Times New Roman" w:cs="Times New Roman"/>
          <w:color w:val="000000"/>
          <w:sz w:val="28"/>
          <w:szCs w:val="28"/>
        </w:rPr>
        <w:lastRenderedPageBreak/>
        <w:t>Theo đó, chính quyền địa phương ở các đơn vị hành chính quy định tại khoản 1 Điều 1 </w:t>
      </w:r>
      <w:hyperlink r:id="rId6" w:history="1">
        <w:r w:rsidRPr="00286833">
          <w:rPr>
            <w:rFonts w:ascii="Times New Roman" w:eastAsia="Times New Roman" w:hAnsi="Times New Roman" w:cs="Times New Roman"/>
            <w:color w:val="003F7A"/>
            <w:sz w:val="28"/>
            <w:szCs w:val="28"/>
          </w:rPr>
          <w:t>Luật Tổ chức chính quyền địa phương số 72/2025/QH15</w:t>
        </w:r>
      </w:hyperlink>
      <w:r w:rsidRPr="00286833">
        <w:rPr>
          <w:rFonts w:ascii="Times New Roman" w:eastAsia="Times New Roman" w:hAnsi="Times New Roman" w:cs="Times New Roman"/>
          <w:color w:val="000000"/>
          <w:sz w:val="28"/>
          <w:szCs w:val="28"/>
        </w:rPr>
        <w:t>, trừ đơn vị hành chính quy định tại Điều 28 </w:t>
      </w:r>
      <w:hyperlink r:id="rId7" w:history="1">
        <w:r w:rsidRPr="00286833">
          <w:rPr>
            <w:rFonts w:ascii="Times New Roman" w:eastAsia="Times New Roman" w:hAnsi="Times New Roman" w:cs="Times New Roman"/>
            <w:color w:val="003F7A"/>
            <w:sz w:val="28"/>
            <w:szCs w:val="28"/>
          </w:rPr>
          <w:t>Luật Tổ chức chính quyền địa phương số 72/2025/QH15</w:t>
        </w:r>
      </w:hyperlink>
      <w:r w:rsidRPr="00286833">
        <w:rPr>
          <w:rFonts w:ascii="Times New Roman" w:eastAsia="Times New Roman" w:hAnsi="Times New Roman" w:cs="Times New Roman"/>
          <w:color w:val="000000"/>
          <w:sz w:val="28"/>
          <w:szCs w:val="28"/>
        </w:rPr>
        <w:t>, là cấp chính quyền địa phương gồm có Hội đồng nhân dân và Ủy ban nhân dân.</w:t>
      </w:r>
    </w:p>
    <w:p w:rsidR="00286833" w:rsidRPr="00286833" w:rsidRDefault="00286833" w:rsidP="00286833">
      <w:pPr>
        <w:shd w:val="clear" w:color="auto" w:fill="FFFFFF"/>
        <w:spacing w:after="150" w:line="384" w:lineRule="atLeast"/>
        <w:ind w:firstLine="720"/>
        <w:jc w:val="both"/>
        <w:rPr>
          <w:rFonts w:ascii="Times New Roman" w:eastAsia="Times New Roman" w:hAnsi="Times New Roman" w:cs="Times New Roman"/>
          <w:color w:val="000000"/>
          <w:sz w:val="28"/>
          <w:szCs w:val="28"/>
        </w:rPr>
      </w:pPr>
      <w:r w:rsidRPr="00286833">
        <w:rPr>
          <w:rFonts w:ascii="Times New Roman" w:eastAsia="Times New Roman" w:hAnsi="Times New Roman" w:cs="Times New Roman"/>
          <w:color w:val="000000"/>
          <w:sz w:val="28"/>
          <w:szCs w:val="28"/>
        </w:rPr>
        <w:t>Chính quyền địa phương ở đơn vị hành chính - kinh tế đặc biệt do Quốc hội quy định khi thành lập đơn vị hành chính - kinh tế đặc biệt đó.</w:t>
      </w:r>
    </w:p>
    <w:p w:rsidR="00286833" w:rsidRPr="00286833" w:rsidRDefault="00286833" w:rsidP="00286833">
      <w:pPr>
        <w:shd w:val="clear" w:color="auto" w:fill="FFFFFF"/>
        <w:spacing w:after="0" w:line="384" w:lineRule="atLeast"/>
        <w:ind w:firstLine="720"/>
        <w:jc w:val="both"/>
        <w:rPr>
          <w:rFonts w:ascii="Times New Roman" w:eastAsia="Times New Roman" w:hAnsi="Times New Roman" w:cs="Times New Roman"/>
          <w:color w:val="000000"/>
          <w:sz w:val="28"/>
          <w:szCs w:val="28"/>
        </w:rPr>
      </w:pPr>
      <w:hyperlink r:id="rId8" w:history="1">
        <w:r w:rsidRPr="00286833">
          <w:rPr>
            <w:rFonts w:ascii="Times New Roman" w:eastAsia="Times New Roman" w:hAnsi="Times New Roman" w:cs="Times New Roman"/>
            <w:color w:val="003F7A"/>
            <w:sz w:val="28"/>
            <w:szCs w:val="28"/>
          </w:rPr>
          <w:t>Luật Tổ chức chính quyền địa phương số 72/2025/QH15</w:t>
        </w:r>
      </w:hyperlink>
      <w:r w:rsidRPr="00286833">
        <w:rPr>
          <w:rFonts w:ascii="Times New Roman" w:eastAsia="Times New Roman" w:hAnsi="Times New Roman" w:cs="Times New Roman"/>
          <w:color w:val="000000"/>
          <w:sz w:val="28"/>
          <w:szCs w:val="28"/>
        </w:rPr>
        <w:t> có hiệu lực từ ngày 16/6/2025 và thay thế </w:t>
      </w:r>
      <w:hyperlink r:id="rId9" w:history="1">
        <w:r w:rsidRPr="00286833">
          <w:rPr>
            <w:rFonts w:ascii="Times New Roman" w:eastAsia="Times New Roman" w:hAnsi="Times New Roman" w:cs="Times New Roman"/>
            <w:color w:val="003F7A"/>
            <w:sz w:val="28"/>
            <w:szCs w:val="28"/>
          </w:rPr>
          <w:t>Luật Tổ chức chính quyền địa phương số 65/2025/QH15</w:t>
        </w:r>
      </w:hyperlink>
      <w:r w:rsidRPr="00286833">
        <w:rPr>
          <w:rFonts w:ascii="Times New Roman" w:eastAsia="Times New Roman" w:hAnsi="Times New Roman" w:cs="Times New Roman"/>
          <w:color w:val="000000"/>
          <w:sz w:val="28"/>
          <w:szCs w:val="28"/>
        </w:rPr>
        <w:t>.</w:t>
      </w:r>
    </w:p>
    <w:p w:rsidR="00286833" w:rsidRPr="00286833" w:rsidRDefault="00286833" w:rsidP="00286833">
      <w:pPr>
        <w:shd w:val="clear" w:color="auto" w:fill="FFFFFF"/>
        <w:spacing w:after="150" w:line="384" w:lineRule="atLeast"/>
        <w:jc w:val="both"/>
        <w:rPr>
          <w:rFonts w:ascii="Times New Roman" w:eastAsia="Times New Roman" w:hAnsi="Times New Roman" w:cs="Times New Roman"/>
          <w:color w:val="000000"/>
          <w:sz w:val="28"/>
          <w:szCs w:val="28"/>
        </w:rPr>
      </w:pPr>
      <w:r w:rsidRPr="00286833">
        <w:rPr>
          <w:rFonts w:ascii="Times New Roman" w:eastAsia="Times New Roman" w:hAnsi="Times New Roman" w:cs="Times New Roman"/>
          <w:color w:val="000000"/>
          <w:sz w:val="28"/>
          <w:szCs w:val="28"/>
        </w:rPr>
        <w:t>Hội đồng nhân dân, các cơ quan thuộc Hội đồng nhân dân, Ủy ban nhân dân, Chủ tịch Ủy ban nhân dân, các cơ quan chuyên môn, tổ chức hành chính khác thuộc Ủy ban nhân dân huyện, quận, thành phố thuộc tỉnh, thành phố thuộc thành phố trực thuộc trung ương, thị xã (sau đây gọi chung là cấp huyện) kết thúc hoạt động từ ngày 01/7/2025.</w:t>
      </w:r>
    </w:p>
    <w:p w:rsidR="00B836E5" w:rsidRPr="00286833" w:rsidRDefault="00286833">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91440</wp:posOffset>
                </wp:positionV>
                <wp:extent cx="3924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92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pt,7.2pt" to="39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0tgEAAMMDAAAOAAAAZHJzL2Uyb0RvYy54bWysU8GOEzEMvSPxD1HudKZdhG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DZSRGU5xHdZ1J2&#10;P2axxRBYQCSxLDpNMXUcvg07ungp7qiQPhry5ct0xLFqe5q1hWMWmi9vPqze3rQ8An19a56AkVL+&#10;BOhFOfTS2VBoq04dPqfMxTj0GsJOaeRcup7yyUEJduEbGKbCxZYVXZcIto7EQfH4ldYQcqXC+Wp0&#10;gRnr3Axs/w28xBco1AX7H/CMqJUx5BnsbUD6W/V8vLZszvFXBc68iwSPOJzqUKo0vClVsctWl1X8&#10;1a/wp39v8xMAAP//AwBQSwMEFAAGAAgAAAAhAArBZU/dAAAACQEAAA8AAABkcnMvZG93bnJldi54&#10;bWxMT01rwkAQvRf8D8sIvdVNg1hJsxERpFYoUluwxzU7TVKzs2F3NfHfd0oP7W3eB2/eyxeDbcUF&#10;fWgcKbifJCCQSmcaqhS8v63v5iBC1GR06wgVXDHAohjd5DozrqdXvOxjJTiEQqYV1DF2mZShrNHq&#10;MHEdEmufzlsdGfpKGq97DretTJNkJq1uiD/UusNVjeVpf7YKXvxms1pur1+0+7D9Id0eds/Dk1K3&#10;42H5CCLiEP/M8FOfq0PBnY7uTCaIlvEs5S2Rj+kUBBse5gkTx19CFrn8v6D4BgAA//8DAFBLAQIt&#10;ABQABgAIAAAAIQC2gziS/gAAAOEBAAATAAAAAAAAAAAAAAAAAAAAAABbQ29udGVudF9UeXBlc10u&#10;eG1sUEsBAi0AFAAGAAgAAAAhADj9If/WAAAAlAEAAAsAAAAAAAAAAAAAAAAALwEAAF9yZWxzLy5y&#10;ZWxzUEsBAi0AFAAGAAgAAAAhAFu74DS2AQAAwwMAAA4AAAAAAAAAAAAAAAAALgIAAGRycy9lMm9E&#10;b2MueG1sUEsBAi0AFAAGAAgAAAAhAArBZU/dAAAACQEAAA8AAAAAAAAAAAAAAAAAEAQAAGRycy9k&#10;b3ducmV2LnhtbFBLBQYAAAAABAAEAPMAAAAaBQAAAAA=&#10;" strokecolor="#5b9bd5 [3204]" strokeweight=".5pt">
                <v:stroke joinstyle="miter"/>
              </v:line>
            </w:pict>
          </mc:Fallback>
        </mc:AlternateContent>
      </w:r>
    </w:p>
    <w:sectPr w:rsidR="00B836E5" w:rsidRPr="00286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33"/>
    <w:rsid w:val="00286833"/>
    <w:rsid w:val="00B8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68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68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8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683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6833"/>
    <w:rPr>
      <w:color w:val="0000FF"/>
      <w:u w:val="single"/>
    </w:rPr>
  </w:style>
  <w:style w:type="paragraph" w:styleId="NormalWeb">
    <w:name w:val="Normal (Web)"/>
    <w:basedOn w:val="Normal"/>
    <w:uiPriority w:val="99"/>
    <w:semiHidden/>
    <w:unhideWhenUsed/>
    <w:rsid w:val="002868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68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68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68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8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683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6833"/>
    <w:rPr>
      <w:color w:val="0000FF"/>
      <w:u w:val="single"/>
    </w:rPr>
  </w:style>
  <w:style w:type="paragraph" w:styleId="NormalWeb">
    <w:name w:val="Normal (Web)"/>
    <w:basedOn w:val="Normal"/>
    <w:uiPriority w:val="99"/>
    <w:semiHidden/>
    <w:unhideWhenUsed/>
    <w:rsid w:val="002868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6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8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quyen-dia-phuong-2025-so-72-2025-QH15-649675.aspx" TargetMode="External"/><Relationship Id="rId3" Type="http://schemas.openxmlformats.org/officeDocument/2006/relationships/settings" Target="settings.xml"/><Relationship Id="rId7" Type="http://schemas.openxmlformats.org/officeDocument/2006/relationships/hyperlink" Target="https://thuvienphapluat.vn/van-ban/Bo-may-hanh-chinh/Luat-To-chuc-chinh-quyen-dia-phuong-2025-so-72-2025-QH15-649675.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Luat-To-chuc-chinh-quyen-dia-phuong-2025-so-72-2025-QH15-649675.aspx" TargetMode="External"/><Relationship Id="rId11" Type="http://schemas.openxmlformats.org/officeDocument/2006/relationships/theme" Target="theme/theme1.xml"/><Relationship Id="rId5" Type="http://schemas.openxmlformats.org/officeDocument/2006/relationships/hyperlink" Target="https://thuvienphapluat.vn/van-ban/Bo-may-hanh-chinh/Luat-To-chuc-chinh-quyen-dia-phuong-2025-so-72-2025-QH15-649675.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Bo-may-hanh-chinh/Luat-To-chuc-chinh-quyen-dia-phuong-2025-so-65-2025-QH15-63924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2025-07-30T08:48:00Z</dcterms:created>
  <dcterms:modified xsi:type="dcterms:W3CDTF">2025-07-30T08:55:00Z</dcterms:modified>
</cp:coreProperties>
</file>